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6443c3b0cc54626"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9482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Grigor Vitez</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811.755,62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859.490,35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905.112,58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835.251,24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24.239,11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2.380,10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21.859,01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Ukupni iskazani prihodi i rashodi poslovanja OŠ "Grigor Vitez" sastoje se od: Općih prihoda i primitaka koji se odnose na financiranje rashoda  troškova poslovanja, energenata, plaća te tekućeg i investicijskog održavanja škole,  Vlastitih prihoda i primitaka koje OŠ "Grigor Vitez "ostvaruje iznajmljivanjem školske dvorane,  Prihoda za posebne namjene koji se ostvaruju uplatama roditelja za financiranje programa produženog boravka te uplatama kandidata za polaganje stručnih   ispita koji se provode u OŠ "Grigor Vitez", Pomoći iz državnog proračuna za plaće i materijalna prava djelatnika, Pomoći iz županijskih proračuna za financiranje natjecanja Lidrano i drugih  te Donacija od koji se isplaćuju dnevnice učiteljima koji prate djecu na školske ekskurzije.  Ukupni prikazani rashodi manji su od su od prihoda te je ostvaren višak u iznosu od 21.859,01 eura.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811.755,62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859.490,35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w:t>
            </w:r>
          </w:p>
        </w:tc>
      </w:tr>
    </w:tbl>
    <w:p>
      <w:pPr>
        <w:spacing w:before="0" w:after="0"/>
      </w:pPr>
    </w:p>
    <w:p>
      <w:r>
        <w:t xml:space="preserve">U odnosu na prošlu godinu došlo je do povećanja prihoda poslovanja. Najvećim dijelom povećani su prihodi na skupini 671 kojima se financiraju rashodi poslovanja. Smanjeni su prihodi na skupini 661 vlastiti prihodi dok su na skupini 652 veći prihodi zbog više upisane djece u  produženi boravak. Na skupini 638 ostvareni su prihodi u odnosu na prošlu godinu jer je uplaćen ostatak sredstava za EU projekt Erasmus u kojem škola sudjeluje. Na kontu 663 donacije ostvaren je veći prihod u odnosu na prošlu godinu.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905.112,58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835.251,24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92,3</w:t>
            </w:r>
          </w:p>
        </w:tc>
      </w:tr>
    </w:tbl>
    <w:p>
      <w:pPr>
        <w:spacing w:before="0" w:after="0"/>
      </w:pPr>
    </w:p>
    <w:p>
      <w:r>
        <w:t xml:space="preserve">Ukupni rashodi poslovanja su manji u odnosu na prošlu godinu tijekom ovoga izvještajnog razdoblja. Razne su oscilacije na kontima rashoda gdje je vidljivo povećanje ili smanjenje rashoda po određenoj skupini troškova. Na kontu skupine troškova za zaposlene smanjenje je u odnosu na prošlu godinu kod isplate naknada troškova zaposlenika na kontu 321. Također kod troškova zaposlenika u ovome razdoblju nije bilo isplate materijalnih prava kao što su naknada za bolovanje duže od 90 dana, invalidnost i smrtni slučaj te otpremnine. Rashodi za zaposlene također su manji u odnosu na prošlo razdoblje.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17.702,75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4.392,20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w:t>
            </w:r>
          </w:p>
        </w:tc>
      </w:tr>
    </w:tbl>
    <w:p>
      <w:pPr>
        <w:spacing w:before="0" w:after="0"/>
      </w:pPr>
    </w:p>
    <w:p>
      <w:r>
        <w:t xml:space="preserve">U ovome izvještajnom razdoblju smanjeni su troškovi stručnog usavršavanja budući da se nije provodio Erasmus projekt koji je nosio većinu ovih troškova.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w:t>
            </w:r>
          </w:p>
        </w:tc>
      </w:tr>
    </w:tbl>
    <w:p>
      <w:pPr>
        <w:spacing w:before="0" w:after="0"/>
      </w:pPr>
    </w:p>
    <w:p>
      <w:r>
        <w:t xml:space="preserve">Smanjenje u odnosu na prošlu godinu jer nije bilo značajnijih izdataka na ovoj skupini troškova.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w:t>
            </w:r>
          </w:p>
        </w:tc>
      </w:tr>
    </w:tbl>
    <w:p>
      <w:pPr>
        <w:spacing w:before="0" w:after="0"/>
      </w:pPr>
    </w:p>
    <w:p>
      <w:r>
        <w:t xml:space="preserve">Smanjenje u odnosu na prošlu godinu jer nije bilo značajnijih izdataka na ovoj skupini troškova.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15.959,09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20.166,27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126,4</w:t>
            </w:r>
          </w:p>
        </w:tc>
      </w:tr>
    </w:tbl>
    <w:p>
      <w:pPr>
        <w:spacing w:before="0" w:after="0"/>
      </w:pPr>
    </w:p>
    <w:p>
      <w:r>
        <w:t xml:space="preserve">Povećanje u odnosu na prošlu godinu zbog povećanih troškova koji su teretili konta usluga tekućeg i investicijskog održavanja, usluga prijevoza te troškova ostalih usluga koji se najvećim dijelom odnose na troškove tiskarskih i grafičkih usluga.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2.293,20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577,7</w:t>
            </w:r>
          </w:p>
        </w:tc>
      </w:tr>
    </w:tbl>
    <w:p>
      <w:pPr>
        <w:spacing w:before="0" w:after="0"/>
      </w:pPr>
    </w:p>
    <w:p>
      <w:r>
        <w:t xml:space="preserve">Povećanje u odnosu na prošlu godinu zbog troškova veznih za posjet učitelja i učenika iz Finske u sklopu Erasmus projekta, obilježavanja dana škole i drugih troškova.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ovome izvještajnom razdoblju ostvaren je rashod po  ovoj skupini troškova zbog nabavke opreme za školsku dvoranu i opreme za održavanje vanjskog prostora škole.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raspoloživ u sljedećem razdoblju (šifre X005 + '9221-9222' - Y005 - '9222-9221')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73.626,75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71.685,51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97,4</w:t>
            </w:r>
          </w:p>
        </w:tc>
      </w:tr>
    </w:tbl>
    <w:p>
      <w:pPr>
        <w:spacing w:before="0" w:after="0"/>
      </w:pPr>
    </w:p>
    <w:p>
      <w:r>
        <w:t xml:space="preserve">Ukupni višak prihoda i primitaka raspoloživ u sljedećem razdoblju rezultat je zbroja prenesenog viška iz prethodne godine i viška ovoga izvještajnog razdoblja.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ovome izvještajnom razdoblju stanje dospjelih obveza je nula.</w:t>
      </w:r>
    </w:p>
    <w:p/>
    <w:p>
      <w:pPr>
        <w:jc w:val="center"/>
        <w:pStyle w:val="Normal"/>
        <w:spacing w:line="240" w:lineRule="auto"/>
        <w:keepNext/>
      </w:pPr>
      <w:r>
        <w:rPr>
          <w:sz w:val="28"/>
          <w:rFonts w:ascii="Times New Roman" w:hAnsi="Times New Roman"/>
        </w:rPr>
        <w:t xml:space="preserve">Bilješka 12.</w:t>
      </w:r>
    </w:p>
    <w:p>
      <w:pPr>
        <w:jc w:val="both"/>
        <w:pStyle w:val="Normal"/>
        <w:spacing w:line="240" w:lineRule="auto"/>
      </w:pPr>
      <w:r>
        <w:rPr>
          <w:b/>
          <w:sz w:val="24"/>
          <w:rFonts w:ascii="Times New Roman" w:hAnsi="Times New Roman"/>
        </w:rPr>
        <w:t xml:space="preserve">EU izvještaj</w:t>
      </w:r>
    </w:p>
    <w:p>
      <w:r>
        <w:t xml:space="preserve"> Osnovna škola "Grigor Vitez" sudjeluje u projektu Erasmus te je tijekom ovoga obračunskog razdoblje zaprimila ostatak uplate u iznosu od 7.971,80 eura od projekta koji je započeo 2024.godine. Uplata u iznosu od 271,31 euro osnosi se na uplatu za agencije za troškove prijevoza učiteljice u sklopu projekta eTwinning. Uplate su proknjižene na kontu prihoda 6381 - Tekuće pomoći iz državnog proračuna na temelju prijenosa EU sredstava. Tijekom ovoga izvještajnog razdoblja ostvareni su rashodi po ovoj skupini troškova.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bf3039f72c7e4670" /></Relationships>
</file>