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4d22a33de4d4b8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9482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Grigor Vitez</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1.491.732,98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1.593.837,02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1.445.287,57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1.676.636,00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82.798,98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34.435,86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32.940,81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115.739,79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rPr>
          <w:i/>
        </w:rPr>
        <w:t xml:space="preserve">Ukupni iskazani prihodi i rashodi poslovanja OŠ "Grigor Vitez" sastoje se od: Općih prihoda i primitaka koji se odnose na financiranje rashoda  troškova poslovanja, energenata, plaća te tekućeg i investicijskog održavanja škole,  Vlastitih prihoda i primitaka koje OŠ "Grigor Vitez "ostvaruje iznajmljivanjem školske dvorane,  Prihoda za posebne namjene koji se ostvaruju uplatama roditelja za financiranje programa produženog boravka te uplatama kandidata za polaganje stručnih   ispita koji se provode u OŠ "Grigor Vitez", Pomoći iz državnog proračuna za plaće i materijalna prava djelatnika, Pomoći iz županijskih proračuna za financiranje natjecanja Lidrano i drugih  te Donacija od koji se isplaćuju dnevnice učiteljima koji prate djecu na školske ekskurzije.  Ukupni prikazani rashodi veći su od prihoda te je ostvaren manjak u iznosu od 115.739,79 eura. Manjak je nastao kao rezultat priznavanja troškova plaća djelatnika za prosinac 2025. godine koje će biti isplaćene u siječnju 2026. godine. U manjak ulaze i troškovi prehrane učenika za prosinac 2025. godine koji prihod će se ostvariti  u narednom razdoblju uplatom sredstava  Ministarstva znanosti, obrazovanja i mladih, režijski troškovi koji su teretili prosinac 2025.  te ostali troškovi poslovanja za koje će se prihod priznati tijekom sljedećeg razdoblja. Tijekom ovoga izvještajnog razdoblja obavljena je usklada potraživanja zbog neravnoteže na kontu 9652 - Ostali nespomenuti prihodi za iznos od  1.424,03 eura i kontu 96615 - Prihodi od pruženih usluga za iznos od  42,39 eura. U ovom izvještajnom razdoblju provedena je i  usklada nefinancijske imovine razreda nula i konta 9111- izvori vlasništva iz proračuna za nefinancijsku imovinu za iznos od 1.417,42 eura. Usklade su provedene preko konta 92211 - višak prihoda poslovanja.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1.188.643,18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1.289.638,05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rPr>
          <w:i/>
        </w:rPr>
        <w:t xml:space="preserve">U odnosu na prošlu godinu iznos se povećao zbog povećanja osnovice plaća  javnih službenika što je pridonijelo rastu plaća te samim time  i rastu prihoda koji financiraju te iste plaće.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rPr>
          <w:i/>
        </w:rPr>
        <w:t xml:space="preserve">Ovo su troškovi za nabavu školskih udžbenika koje pokriva Ministarstvo znanosti, obrazovanja i mladih. Povećanjem broja učenika polaznika OŠ "Grigor Vitez" došlo je i do povećanja ovih troškova a time i povećanja ove vrste prihoda u odnosu na prošlu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w:t>
            </w:r>
          </w:p>
        </w:tc>
      </w:tr>
    </w:tbl>
    <w:p>
      <w:pPr>
        <w:spacing w:before="0" w:after="0"/>
      </w:pPr>
    </w:p>
    <w:p>
      <w:r>
        <w:rPr>
          <w:i/>
        </w:rPr>
        <w:t xml:space="preserve">U ovom izvještajnom razdoblju OŠ "Grigor Vitez" nije ostvarila prihode od projekata Europske unije. Sredstva ostvarena u ovom razdoblju odnose se na uplatu Agencije za mobilnost i programe EU Zagreb za troškove prijevoza na seminar koordinatorice.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34.636,99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54.196,04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w:t>
            </w:r>
          </w:p>
        </w:tc>
      </w:tr>
    </w:tbl>
    <w:p>
      <w:pPr>
        <w:spacing w:before="0" w:after="0"/>
      </w:pPr>
    </w:p>
    <w:p>
      <w:r>
        <w:rPr>
          <w:i/>
        </w:rPr>
        <w:t xml:space="preserve">Ovi troškovi  odnose se na sufinanciranje  roditelja za prehranu u produženom boravku i dio plaće učiteljica u produženom boravku. Također se ubrajaju i uplate kandidata koji polažu stručne ispite iz engleskog jezika i povijesti a financiraju ih iz vlastitih sredstava. Došlo je do povećanja u odnosu na prošlu godinu budući da je upisano više djece u program produženog boravka te je prema tome došlo do potrebe zapošljavanja još jedne učiteljice u programu produženog boravka.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OŠ "Grigor Vitez" u ovom izvještajnom razdoblju nije ostvarila prihode od prodaje proizvoda i usluga.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w:t>
            </w:r>
          </w:p>
        </w:tc>
      </w:tr>
    </w:tbl>
    <w:p>
      <w:pPr>
        <w:spacing w:before="0" w:after="0"/>
      </w:pPr>
    </w:p>
    <w:p>
      <w:r>
        <w:rPr>
          <w:i/>
        </w:rPr>
        <w:t xml:space="preserve">Prihodi od prodaje proizvoda i usluga - došlo je do smanjenja ove vrste prihoda u odnosu na prošlo  izvještajno razdoblje. </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410,5</w:t>
            </w:r>
          </w:p>
        </w:tc>
      </w:tr>
    </w:tbl>
    <w:p>
      <w:pPr>
        <w:spacing w:before="0" w:after="0"/>
      </w:pPr>
    </w:p>
    <w:p>
      <w:r>
        <w:rPr>
          <w:i/>
        </w:rPr>
        <w:t xml:space="preserve">OŠ "Grigor Vitez" u odnosu na prošlu godinu ostvarila je veći iznos donacija na školskom sajmu koji se organizira u svrhu prikupljanja sredstava za pokrivanje troškova ekskurzija i nastavnih materijala za učenike slabijeg imovinskog statusa.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OŠ "Grigor Vitez" u ovo razdoblju, u odnosu na prošlo razdoblju, ostvarila je prihod od kapitalnih donacija.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181.027,64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196.726,80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rPr>
          <w:i/>
        </w:rPr>
        <w:t xml:space="preserve">Prihod iz nadležnog proračuna za financiranje redovne djelatnosti – odnosi se na prihode financirane od strane Grada Osijeka za financiranje redovne djelatnosti škole. Došlo je do povećanja prihoda budući da je došlo do povećanja broja učenika i  zaposlenih u produženom boravku te samim time i povećanje plaća  i troškova za redovnu djelatnost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989.154,53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1.203.927,14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bl>
    <w:p>
      <w:pPr>
        <w:spacing w:before="0" w:after="0"/>
      </w:pPr>
    </w:p>
    <w:p>
      <w:r>
        <w:rPr>
          <w:i/>
        </w:rPr>
        <w:t xml:space="preserve">Plaće za zaposlene – ovdje se evidentiraju plaće djelatnika koje se financiraju od strane Ministarstva znanosti, obrazovanja i mladih, plaće učitelja u produženom boravku koje se financiraju jednim dijelom od strane roditelja i dijelom koje financira Grad Osijek i plaće iz projekta "Osigurajmo im jednakost8" koje imaju više izvora financiranja.  Došlo je do povećanja rashoda za plaće zaposlenih zbog povećanja osnovice  zaposlenih u javnom sektoru, a najvećim dijelom je povećano zbog ukidanja skupine 193 (kontinuirani rashodi budućeg poslovanja) na koji se do sada knjižio trošak plaće kod pripreme financijskih izvještaja.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159.588,52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195.041,18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rPr>
          <w:i/>
        </w:rPr>
        <w:t xml:space="preserve">Doprinosi za obvezno zdravstveno osiguranje – troškovi povezani uz plaće djelatnika.  Povećanjem plaća povećani su i doprinosi za obvezno zdravstveno osiguranje.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247.156,30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227.210,05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w:t>
            </w:r>
          </w:p>
        </w:tc>
      </w:tr>
    </w:tbl>
    <w:p>
      <w:pPr>
        <w:spacing w:before="0" w:after="0"/>
      </w:pPr>
    </w:p>
    <w:p>
      <w:r>
        <w:rPr>
          <w:i/>
        </w:rPr>
        <w:t xml:space="preserve">Naknade troškova zaposlenima -  smanjenje u odnosu na prošlu godinu vezano je za službena putovanja i stručno usavršavanje zaposlenika, a koja su vezana za Erasmus projekt. U ovom razdoblju većim dijelom su iskorištena  sredstva Erasmus projekta te je time iznos manji u odnosu na prošlu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134.509,54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150.826,64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rPr>
          <w:i/>
        </w:rPr>
        <w:t xml:space="preserve">Rashodi za materijal i energiju - povećanje ove stavke nastalo je zbog povećanja broja učenika te su troškovi za školsku kuhinju porasli u odnosu na isto razdoblje prethodne godine.</w:t>
      </w:r>
    </w:p>
    <w:p>
      <w:r>
        <w:t xml:space="preserv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rPr>
          <w:i/>
        </w:rPr>
        <w:t xml:space="preserve">Rashodi za usluge – došlo je do smanjenja u odnosu na prošlu godinu jer OŠ "Grigor Vitez" u ovom izvještajnom razdoblju nije imala značajnijih troškova vezanih za ovu vrstu rashoda. Nastali troškovi odnose se na troškove redovnog poslovanja.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w:t>
            </w:r>
          </w:p>
        </w:tc>
      </w:tr>
    </w:tbl>
    <w:p>
      <w:pPr>
        <w:spacing w:before="0" w:after="0"/>
      </w:pPr>
    </w:p>
    <w:p>
      <w:r>
        <w:rPr>
          <w:i/>
        </w:rPr>
        <w:t xml:space="preserve">Ostali nespomenuti rashodi poslovanja – došlo je do smanjenja u odnosu na prošlu godinu jer OŠ "Grigor Vitez" u ovom izvještajnom razdoblju nije imala značajnijih troškova vezanih za ovu vrstu rashoda.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Pristojbe i naknade - troškovi vezani za isplatu sudskih presuda djelatnicima su u cijelosti isplaćeni te OŠ "Grigor Vitez" u ovom izvještajnom razdoblju nije imala rashoda po ovoj stavci.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Troškovi sudskih postupaka - troškovi vezani za isplatu sudskih presuda djelatnicima su u cijelosti isplaćeni te OŠ "Grigor Vitez" u ovom izvještajnom razdoblju nije imala rashoda po ovoj stavci.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Ostali financijski rashodi -  troškovi vezani za isplatu sudskih presuda djelatnicima su u cijelosti isplaćeni te OŠ "Grigor Vitez" u ovom izvještajnom razdoblju nije imala rashoda po ovoj stavci.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34.435,86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bl>
    <w:p>
      <w:pPr>
        <w:spacing w:before="0" w:after="0"/>
      </w:pPr>
    </w:p>
    <w:p>
      <w:r>
        <w:rPr>
          <w:i/>
        </w:rPr>
        <w:t xml:space="preserve">U ovom izvještajnom razdoblju OŠ "Grigor Vitez" imala je manje rashode za nabavku proizvedene dugotrajne imovine u odnosu na prošlo izvještajno razdoblje.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U ovome izvještajnom razdoblju OŠ"Grigor Vitez" imala je isplate otpremnina za odlazak djelatnika u mirovinu te je time imala ostvaren rashod u odnosu na izvještajno razdoblje prethodne godine.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w:t>
            </w:r>
          </w:p>
        </w:tc>
      </w:tr>
    </w:tbl>
    <w:p>
      <w:pPr>
        <w:spacing w:before="0" w:after="0"/>
      </w:pPr>
    </w:p>
    <w:p>
      <w:r>
        <w:rPr>
          <w:i/>
        </w:rPr>
        <w:t xml:space="preserve">U ovome izvještajnom razdoblju OŠ "Grigor Vitez" imala je manje isplata materijalnih pomoći za bolest, invalidnost i smrtni slučaj u odnosu na izvještajno razdoblje prethodne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w:t>
            </w:r>
          </w:p>
        </w:tc>
      </w:tr>
    </w:tbl>
    <w:p>
      <w:pPr>
        <w:spacing w:before="0" w:after="0"/>
      </w:pPr>
    </w:p>
    <w:p>
      <w:r>
        <w:rPr>
          <w:i/>
        </w:rPr>
        <w:t xml:space="preserve">U ovome izvještajnom razdoblju u OŠ"Grigor Vitez" manji je broj djelatnika koji su bili u obvezi ići na zdravstveni pregled u odnosu na izvještajno razdoblje prethodne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U ovome izvještajnom razdoblju OŠ"Grigor Vitez" imala je dovoljan broj zaposlenih osoba sa invaliditetom te nije u obvezi plaćati ovu naknadu u odnosu na izvještajno razdoblje prethodne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441.313,35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431.280,40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rPr>
          <w:i/>
        </w:rPr>
        <w:t xml:space="preserve">Nefinancijska imovina se smanjila u odnosu na proteklo izvještajno razdoblje. U 2025. godini nabavljena je računalna oprema, sportska oprema, školski namještaj, školska oprema, uređaji, strojeva i oprema za ostale namjene, knjige te sitni inventar.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r>
        <w:rPr>
          <w:i/>
        </w:rPr>
        <w:t xml:space="preserve">Ostala potraživanja  odnose se na potraživanja za bolovanja djelatnika preko 42 dana i druga bolovanja koja se refundiraju od Hrvatskog zavoda za zdravstveno osiguranje.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99.992,88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U ova potraživanja ubrajamo plaću za prosinac 2025. godine koja će biti isplaćena u siječnju 2026. Ukidanjem konta kontinuirani rashodi budućih razdoblja skupina 193 povećao se iznos u odnosu na proteklo razdoblje.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w:t>
            </w:r>
          </w:p>
        </w:tc>
      </w:tr>
    </w:tbl>
    <w:p>
      <w:pPr>
        <w:spacing w:before="0" w:after="0"/>
      </w:pPr>
    </w:p>
    <w:p>
      <w:r>
        <w:rPr>
          <w:i/>
        </w:rPr>
        <w:t xml:space="preserve">Ova vrsta potraživanja odnosi se na potraživanje od roditelja za usluge produženog boravka - prehranu i dio koji financira plaće učiteljica u produženom boravku. Manje je nenaplaćenih računa u odnosu na prošlo izvještajno razdoblje.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w:t>
            </w:r>
          </w:p>
        </w:tc>
      </w:tr>
    </w:tbl>
    <w:p>
      <w:pPr>
        <w:spacing w:before="0" w:after="0"/>
      </w:pPr>
    </w:p>
    <w:p>
      <w:r>
        <w:rPr>
          <w:i/>
        </w:rPr>
        <w:t xml:space="preserve">Ova vrsta potraživanja odnosi se na potraživanje od kupaca za usluge iznajmljivanje školske dvorane. Više je ne naplaćenih usluga u odnosu na prošlo izvještajno razdoblje.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190.211,77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rPr>
          <w:i/>
        </w:rPr>
        <w:t xml:space="preserve">Ova vrsta potraživanja odnose se na novac kojim škola raspolaže na dan 31.12.2025. godine. Iznos od 176.411,46 eura  sastoji od nekoliko izvora financiranja.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rPr>
          <w:i/>
        </w:rPr>
        <w:t xml:space="preserve">Budući da je u ovom izvještajnom razdoblju ukinuta ova skupina rashoda stanje na kraju izvještajnog razdoblja je nula.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99.992,88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U ova potraživanja ubrajamo plaću za prosinac 2025. godine koja će biti isplaćena u siječnju 2026. Ukidanjem konta kontinuirani rashodi budućih razdoblja skupina 193 povećao se iznos u odnosu na proteklo razdoblje.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rPr>
          <w:i/>
        </w:rPr>
        <w:t xml:space="preserve">Izvanbilančni zapisi su sredstva koja se nalaze u našoj školi, a ne pripadaju nama, već su tuđa roba primljena na korištenje. Prema naputku sredstva ćemo isknjižiti  kad se za to stvore potrebni uvjeti.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1.479.723,43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1.709.576,81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rPr>
          <w:i/>
        </w:rPr>
        <w:t xml:space="preserve">Osnovna škola „Grigor Vitez" Osijek obavlja funkciju osnovnog obrazovanja te su ukupni rashodi poslovanja iskazani na 09 u iznosu od 1.709.576,81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42.973,76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42.973,76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rPr>
          <w:i/>
        </w:rPr>
        <w:t xml:space="preserve">Na kontu 91512 imamo ukupno povećanje i  smanjenje u obujmu imovine za iznos od 42.973,76 eura što se odnosi na iznos nabave ne proizvedene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135.594,57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Ukupno stanje obveza na dan 31.12.2025. iznosi 135.594,57 € koje se sastoji od nedospjelih obveza. Nedospjele obveze se većinskim dijelom odnose na plaće i prijevoz za prosinac 2025. koje dospijevaju na plaćanje tijekom siječnja 2026., a financira se iz izvora Ministarstva znanosti, obrazovanja i mladih, Grada Osijeka i dio za produženi boravak  koji se financira od strane roditelja korisnika produženog boravka. Ostatak nedospjelih obveza se odnosi na račune za prosinac 2025. godine koji dospijevaju na plaćanje tijekom siječnja 2026. godine.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rPr>
          <w:i/>
        </w:rPr>
        <w:t xml:space="preserve">Ukupno stanje dospjelih obveza na kraju izvještajnog razdoblja iznosi 0,00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c4e71bed4f44022" /></Relationships>
</file>